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110bis-e</w:t>
      </w:r>
      <w:r>
        <w:rPr>
          <w:b/>
          <w:sz w:val="24"/>
        </w:rPr>
        <w:fldChar w:fldCharType="end"/>
      </w:r>
      <w:r>
        <w:rPr>
          <w:b/>
          <w:i/>
          <w:sz w:val="28"/>
        </w:rPr>
        <w:tab/>
      </w:r>
      <w:r>
        <w:rPr>
          <w:rFonts w:hint="eastAsia"/>
          <w:b/>
          <w:iCs/>
          <w:sz w:val="24"/>
          <w:szCs w:val="18"/>
        </w:rPr>
        <w:t>R1-2209465</w:t>
      </w:r>
      <w:bookmarkStart w:id="8" w:name="_GoBack"/>
      <w:bookmarkEnd w:id="8"/>
    </w:p>
    <w:p>
      <w:pPr>
        <w:pStyle w:val="118"/>
        <w:outlineLvl w:val="0"/>
        <w:rPr>
          <w:b/>
          <w:sz w:val="24"/>
          <w:szCs w:val="24"/>
        </w:rPr>
      </w:pPr>
      <w:r>
        <w:rPr>
          <w:rFonts w:eastAsia="MS Mincho" w:cs="Arial"/>
          <w:b/>
          <w:bCs/>
          <w:sz w:val="24"/>
          <w:szCs w:val="24"/>
          <w:lang w:eastAsia="ja-JP"/>
        </w:rPr>
        <w:t>e-Meeting</w:t>
      </w:r>
      <w:r>
        <w:rPr>
          <w:rFonts w:hint="eastAsia" w:eastAsia="MS Mincho" w:cs="Arial"/>
          <w:b/>
          <w:bCs/>
          <w:sz w:val="24"/>
          <w:szCs w:val="24"/>
          <w:lang w:eastAsia="ja-JP"/>
        </w:rPr>
        <w:t xml:space="preserve">,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w:t>
            </w:r>
            <w:r>
              <w:rPr>
                <w:rFonts w:hint="eastAsia"/>
                <w:b/>
                <w:sz w:val="28"/>
                <w:lang w:val="en-US" w:eastAsia="zh-CN"/>
              </w:rPr>
              <w:t>6</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 xml:space="preserve">Correction </w:t>
            </w:r>
            <w:r>
              <w:rPr>
                <w:lang w:val="en-US" w:eastAsia="zh-CN"/>
              </w:rPr>
              <w:t xml:space="preserve">on </w:t>
            </w:r>
            <w:r>
              <w:rPr>
                <w:rFonts w:hint="eastAsia"/>
                <w:lang w:val="en-US" w:eastAsia="zh-CN"/>
              </w:rPr>
              <w:t>cancellation of PUSCH repetitions due to DAPS handover</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t>NR_Mob_enh-Core</w:t>
            </w:r>
            <w:r>
              <w:fldChar w:fldCharType="end"/>
            </w:r>
            <w:r>
              <w:rPr>
                <w:rFonts w:hint="eastAsia"/>
                <w:lang w:val="en-US" w:eastAsia="zh-CN"/>
              </w:rPr>
              <w:t xml:space="preserve">, </w:t>
            </w:r>
            <w:r>
              <w:t>NR_</w:t>
            </w:r>
            <w:r>
              <w:rPr>
                <w:rFonts w:hint="eastAsia"/>
                <w:lang w:eastAsia="zh-CN"/>
              </w:rPr>
              <w:t>L1enh_</w:t>
            </w:r>
            <w:r>
              <w:t>URLLC-Core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ResDate  \* MERGEFORMAT </w:instrText>
            </w:r>
            <w:r>
              <w:fldChar w:fldCharType="separate"/>
            </w:r>
            <w:r>
              <w:t>202</w:t>
            </w:r>
            <w:r>
              <w:rPr>
                <w:lang w:val="en-US"/>
              </w:rPr>
              <w:t>2</w:t>
            </w:r>
            <w:r>
              <w:t>-</w:t>
            </w:r>
            <w:r>
              <w:rPr>
                <w:rFonts w:hint="eastAsia"/>
                <w:lang w:val="en-US" w:eastAsia="zh-CN"/>
              </w:rPr>
              <w:t>9</w:t>
            </w:r>
            <w:r>
              <w:t>-</w:t>
            </w:r>
            <w:r>
              <w:rPr>
                <w:rFonts w:hint="eastAsia"/>
                <w:lang w:val="en-US" w:eastAsia="zh-CN"/>
              </w:rPr>
              <w:t>28</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i/>
                <w:sz w:val="18"/>
                <w:lang w:val="en-US"/>
              </w:rPr>
              <w:t>7</w:t>
            </w:r>
            <w:r>
              <w:rPr>
                <w:i/>
                <w:sz w:val="18"/>
              </w:rPr>
              <w:tab/>
            </w:r>
            <w:r>
              <w:rPr>
                <w:i/>
                <w:sz w:val="18"/>
              </w:rPr>
              <w:t>(Release 1</w:t>
            </w:r>
            <w:r>
              <w:rPr>
                <w:i/>
                <w:sz w:val="18"/>
                <w:lang w:val="en-US"/>
              </w:rPr>
              <w:t>7)</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p>
          <w:p>
            <w:pPr>
              <w:pStyle w:val="118"/>
              <w:spacing w:after="0"/>
              <w:ind w:left="100"/>
              <w:rPr>
                <w:rFonts w:hint="eastAsia"/>
                <w:lang w:val="en-US" w:eastAsia="zh-CN"/>
              </w:rPr>
            </w:pPr>
            <w:r>
              <w:rPr>
                <w:rFonts w:hint="eastAsia"/>
                <w:lang w:val="en-US" w:eastAsia="zh-CN"/>
              </w:rPr>
              <w:t xml:space="preserve">During DAPS handover, a UE transmits </w:t>
            </w:r>
            <w:r>
              <w:t>only on the target cell, and cancels the transmission to source cell</w:t>
            </w:r>
            <w:r>
              <w:rPr>
                <w:rFonts w:hint="eastAsia"/>
                <w:lang w:val="en-US" w:eastAsia="zh-CN"/>
              </w:rPr>
              <w:t xml:space="preserve"> in the following handover cases that are specified in Clause 15 in TS 38.213. </w:t>
            </w:r>
          </w:p>
          <w:p>
            <w:pPr>
              <w:pStyle w:val="118"/>
              <w:spacing w:after="0"/>
              <w:ind w:left="100"/>
              <w:rPr>
                <w:rFonts w:hint="default"/>
                <w:lang w:val="en-US" w:eastAsia="zh-CN"/>
              </w:rPr>
            </w:pP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pPr>
                  <w:r>
                    <w:t>For DAPS handover that is not intra-frequency, if</w:t>
                  </w:r>
                </w:p>
                <w:p>
                  <w:pPr>
                    <w:pStyle w:val="112"/>
                    <w:overflowPunct w:val="0"/>
                    <w:autoSpaceDE w:val="0"/>
                    <w:autoSpaceDN w:val="0"/>
                    <w:adjustRightInd w:val="0"/>
                    <w:ind w:left="560" w:hanging="276"/>
                    <w:textAlignment w:val="baseline"/>
                  </w:pPr>
                  <w:r>
                    <w:t>-</w:t>
                  </w:r>
                  <w:r>
                    <w:tab/>
                  </w:r>
                  <w:r>
                    <w:t xml:space="preserve">the UE indicates support of </w:t>
                  </w:r>
                  <w:r>
                    <w:rPr>
                      <w:i/>
                      <w:iCs/>
                    </w:rPr>
                    <w:t>interFreqUL-TransCancellationDAPS-r16</w:t>
                  </w:r>
                  <w:r>
                    <w:t>, and</w:t>
                  </w:r>
                </w:p>
                <w:p>
                  <w:pPr>
                    <w:pStyle w:val="112"/>
                    <w:overflowPunct w:val="0"/>
                    <w:autoSpaceDE w:val="0"/>
                    <w:autoSpaceDN w:val="0"/>
                    <w:adjustRightInd w:val="0"/>
                    <w:ind w:left="560" w:hanging="276"/>
                    <w:textAlignment w:val="baseline"/>
                  </w:pPr>
                  <w:r>
                    <w:t>-</w:t>
                  </w:r>
                  <w:r>
                    <w:tab/>
                  </w:r>
                  <w:r>
                    <w:t xml:space="preserve">UE does not indicate a capability for power sharing between source and target MCG in DAPS handover or the UE is not provided with </w:t>
                  </w:r>
                  <w:r>
                    <w:rPr>
                      <w:i/>
                      <w:iCs/>
                    </w:rPr>
                    <w:t>uplinkPowerSharingDAPS-Mode</w:t>
                  </w:r>
                  <w:r>
                    <w:t xml:space="preserve">, and </w:t>
                  </w:r>
                </w:p>
                <w:p>
                  <w:pPr>
                    <w:pStyle w:val="112"/>
                    <w:overflowPunct w:val="0"/>
                    <w:autoSpaceDE w:val="0"/>
                    <w:autoSpaceDN w:val="0"/>
                    <w:adjustRightInd w:val="0"/>
                    <w:ind w:left="560" w:hanging="276"/>
                    <w:textAlignment w:val="baseline"/>
                  </w:pPr>
                  <w:r>
                    <w:t>-</w:t>
                  </w:r>
                  <w:r>
                    <w:tab/>
                  </w:r>
                  <w:r>
                    <w:t xml:space="preserve">UE transmissions on the target cell and the source cell are in overlapping time resources, </w:t>
                  </w:r>
                </w:p>
                <w:p>
                  <w:pPr>
                    <w:overflowPunct w:val="0"/>
                    <w:autoSpaceDE w:val="0"/>
                    <w:autoSpaceDN w:val="0"/>
                    <w:adjustRightInd w:val="0"/>
                    <w:textAlignment w:val="baseline"/>
                  </w:pPr>
                  <w:r>
                    <w:t>the UE transmits only on the target cell, and cancels the transmission to source cell.</w:t>
                  </w:r>
                </w:p>
                <w:p>
                  <w:pPr>
                    <w:overflowPunct w:val="0"/>
                    <w:autoSpaceDE w:val="0"/>
                    <w:autoSpaceDN w:val="0"/>
                    <w:adjustRightInd w:val="0"/>
                    <w:textAlignment w:val="baseline"/>
                  </w:pPr>
                  <w:r>
                    <w:t xml:space="preserve">For intra-frequency DAPS handover, if </w:t>
                  </w:r>
                </w:p>
                <w:p>
                  <w:pPr>
                    <w:pStyle w:val="112"/>
                    <w:overflowPunct w:val="0"/>
                    <w:autoSpaceDE w:val="0"/>
                    <w:autoSpaceDN w:val="0"/>
                    <w:adjustRightInd w:val="0"/>
                    <w:ind w:left="560" w:hanging="276"/>
                    <w:textAlignment w:val="baseline"/>
                  </w:pPr>
                  <w:r>
                    <w:t>-</w:t>
                  </w:r>
                  <w:r>
                    <w:tab/>
                  </w:r>
                  <w:r>
                    <w:t xml:space="preserve">UE transmissions on the target cell and the source cell are in overlapping time resources, </w:t>
                  </w:r>
                </w:p>
                <w:p>
                  <w:pPr>
                    <w:overflowPunct w:val="0"/>
                    <w:autoSpaceDE w:val="0"/>
                    <w:autoSpaceDN w:val="0"/>
                    <w:adjustRightInd w:val="0"/>
                    <w:textAlignment w:val="baseline"/>
                    <w:rPr>
                      <w:vertAlign w:val="baseline"/>
                      <w:lang w:val="en-US" w:eastAsia="zh-CN"/>
                    </w:rPr>
                  </w:pPr>
                  <w:r>
                    <w:t>the UE transmits only on the target cell and cancels the transmission</w:t>
                  </w:r>
                  <w:r>
                    <w:rPr>
                      <w:lang w:eastAsia="zh-TW"/>
                    </w:rPr>
                    <w:t xml:space="preserve"> on the source cell.</w:t>
                  </w:r>
                </w:p>
              </w:tc>
            </w:tr>
          </w:tbl>
          <w:p>
            <w:pPr>
              <w:pStyle w:val="118"/>
              <w:spacing w:after="0"/>
              <w:ind w:left="100"/>
              <w:rPr>
                <w:lang w:val="en-US" w:eastAsia="zh-CN"/>
              </w:rPr>
            </w:pPr>
          </w:p>
          <w:p>
            <w:pPr>
              <w:pStyle w:val="118"/>
              <w:spacing w:after="0"/>
              <w:ind w:left="100"/>
              <w:rPr>
                <w:rFonts w:hint="default"/>
                <w:lang w:val="en-US" w:eastAsia="zh-CN"/>
              </w:rPr>
            </w:pPr>
            <w:r>
              <w:rPr>
                <w:rFonts w:hint="eastAsia"/>
                <w:lang w:val="en-US" w:eastAsia="zh-CN"/>
              </w:rPr>
              <w:t xml:space="preserve">However, the cancellation due to DAPS handover is missed for determination of time domain resources for PUSCH repetitions in TS 38214. </w:t>
            </w: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default"/>
                <w:lang w:val="en-US" w:eastAsia="zh-CN"/>
              </w:rPr>
            </w:pPr>
            <w:r>
              <w:rPr>
                <w:lang w:val="en-US" w:eastAsia="zh-CN"/>
              </w:rPr>
              <w:t xml:space="preserve">Add </w:t>
            </w:r>
            <w:r>
              <w:rPr>
                <w:rFonts w:hint="eastAsia"/>
                <w:lang w:val="en-US" w:eastAsia="zh-CN"/>
              </w:rPr>
              <w:t>a missing</w:t>
            </w:r>
            <w:r>
              <w:rPr>
                <w:lang w:val="en-US" w:eastAsia="zh-CN"/>
              </w:rPr>
              <w:t xml:space="preserve"> dropping rule for PUSCH repetition</w:t>
            </w:r>
            <w:r>
              <w:rPr>
                <w:rFonts w:hint="eastAsia"/>
                <w:lang w:val="en-US" w:eastAsia="zh-CN"/>
              </w:rPr>
              <w:t>s.</w:t>
            </w:r>
          </w:p>
          <w:p>
            <w:pPr>
              <w:pStyle w:val="118"/>
              <w:spacing w:after="0"/>
              <w:ind w:left="10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lang w:val="en-US" w:eastAsia="zh-CN"/>
              </w:rPr>
            </w:pPr>
            <w:r>
              <w:rPr>
                <w:rFonts w:hint="eastAsia"/>
                <w:lang w:val="en-US" w:eastAsia="zh-CN"/>
              </w:rPr>
              <w:t>Incomplete</w:t>
            </w:r>
            <w:r>
              <w:rPr>
                <w:lang w:val="en-US" w:eastAsia="zh-CN"/>
              </w:rPr>
              <w:t xml:space="preserve"> specification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6.1.2.1, 6.1.2.3.1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rFonts w:eastAsia="宋体"/>
          <w:b/>
          <w:bCs/>
          <w:color w:val="000000"/>
          <w:lang w:val="en-US" w:eastAsia="zh-CN"/>
        </w:rPr>
      </w:pPr>
      <w:bookmarkStart w:id="2" w:name="_Toc36117390"/>
      <w:bookmarkStart w:id="3" w:name="_Toc20317982"/>
      <w:bookmarkStart w:id="4" w:name="_Toc27299880"/>
      <w:bookmarkStart w:id="5" w:name="_Toc83290987"/>
      <w:bookmarkStart w:id="6" w:name="_Toc11352092"/>
      <w:bookmarkStart w:id="7" w:name="_Toc44515882"/>
      <w:r>
        <w:rPr>
          <w:b/>
          <w:bCs/>
          <w:color w:val="000000"/>
        </w:rPr>
        <w:t>6.1.2.1</w:t>
      </w:r>
      <w:r>
        <w:rPr>
          <w:b/>
          <w:bCs/>
          <w:color w:val="000000"/>
        </w:rPr>
        <w:tab/>
      </w:r>
      <w:r>
        <w:rPr>
          <w:b/>
          <w:bCs/>
          <w:color w:val="000000"/>
        </w:rPr>
        <w:t>Resource allocation in time domain</w:t>
      </w:r>
    </w:p>
    <w:p>
      <w:pPr>
        <w:spacing w:before="120" w:line="280" w:lineRule="atLeast"/>
        <w:jc w:val="center"/>
      </w:pPr>
      <w:r>
        <w:rPr>
          <w:b/>
          <w:iCs/>
          <w:color w:val="FF0000"/>
          <w:sz w:val="28"/>
        </w:rPr>
        <w:t>&lt;Unchanged parts are omitted&gt;</w:t>
      </w:r>
    </w:p>
    <w:bookmarkEnd w:id="2"/>
    <w:bookmarkEnd w:id="3"/>
    <w:bookmarkEnd w:id="4"/>
    <w:bookmarkEnd w:id="5"/>
    <w:bookmarkEnd w:id="6"/>
    <w:bookmarkEnd w:id="7"/>
    <w:p>
      <w:pPr>
        <w:rPr>
          <w:color w:val="000000"/>
        </w:rPr>
      </w:pPr>
      <w:r>
        <w:rPr>
          <w:color w:val="000000"/>
        </w:rPr>
        <w:t>For PUSCH repetition Type A, a PUSCH transmission in a slot of a multi-slot PUSCH transmission is omitted according to the conditions in Clause 9, Clause 11.1</w:t>
      </w:r>
      <w:ins w:id="0" w:author="ZTE" w:date="2022-09-28T14:49:59Z">
        <w:r>
          <w:rPr>
            <w:rFonts w:hint="eastAsia"/>
            <w:color w:val="000000"/>
            <w:lang w:val="en-US" w:eastAsia="zh-CN"/>
          </w:rPr>
          <w:t>,</w:t>
        </w:r>
      </w:ins>
      <w:del w:id="1" w:author="ZTE" w:date="2022-09-28T14:49:58Z">
        <w:r>
          <w:rPr>
            <w:color w:val="000000"/>
          </w:rPr>
          <w:delText xml:space="preserve"> </w:delText>
        </w:r>
      </w:del>
      <w:del w:id="2" w:author="ZTE" w:date="2022-09-28T14:49:57Z">
        <w:r>
          <w:rPr>
            <w:color w:val="000000"/>
          </w:rPr>
          <w:delText>and</w:delText>
        </w:r>
      </w:del>
      <w:r>
        <w:rPr>
          <w:color w:val="000000"/>
        </w:rPr>
        <w:t xml:space="preserve"> Clause 11.2A </w:t>
      </w:r>
      <w:ins w:id="3" w:author="ZTE" w:date="2022-09-28T14:50:02Z">
        <w:r>
          <w:rPr>
            <w:rFonts w:hint="eastAsia"/>
            <w:color w:val="000000"/>
            <w:lang w:val="en-US" w:eastAsia="zh-CN"/>
          </w:rPr>
          <w:t>and</w:t>
        </w:r>
      </w:ins>
      <w:ins w:id="4" w:author="ZTE" w:date="2022-09-28T14:50:03Z">
        <w:r>
          <w:rPr>
            <w:rFonts w:eastAsia="Batang"/>
            <w:color w:val="FF0000"/>
            <w:kern w:val="24"/>
            <w:u w:val="single"/>
          </w:rPr>
          <w:t xml:space="preserve"> </w:t>
        </w:r>
      </w:ins>
      <w:ins w:id="5" w:author="ZTE" w:date="2022-09-28T14:50:24Z">
        <w:r>
          <w:rPr>
            <w:rFonts w:hint="eastAsia" w:eastAsia="宋体"/>
            <w:color w:val="FF0000"/>
            <w:kern w:val="24"/>
            <w:u w:val="single"/>
            <w:lang w:val="en-US" w:eastAsia="zh-CN"/>
          </w:rPr>
          <w:t>C</w:t>
        </w:r>
      </w:ins>
      <w:ins w:id="6" w:author="ZTE" w:date="2022-09-28T14:50:03Z">
        <w:r>
          <w:rPr>
            <w:rFonts w:eastAsia="Batang"/>
            <w:color w:val="FF0000"/>
            <w:kern w:val="24"/>
            <w:u w:val="single"/>
          </w:rPr>
          <w:t>lause 15</w:t>
        </w:r>
      </w:ins>
      <w:ins w:id="7" w:author="ZTE" w:date="2022-09-28T14:50:04Z">
        <w:r>
          <w:rPr>
            <w:rFonts w:hint="eastAsia" w:eastAsia="宋体"/>
            <w:color w:val="FF0000"/>
            <w:kern w:val="24"/>
            <w:u w:val="single"/>
            <w:lang w:val="en-US" w:eastAsia="zh-CN"/>
          </w:rPr>
          <w:t xml:space="preserve"> </w:t>
        </w:r>
      </w:ins>
      <w:r>
        <w:rPr>
          <w:color w:val="000000"/>
        </w:rPr>
        <w:t xml:space="preserve">of [6, TS38.213]. </w:t>
      </w:r>
    </w:p>
    <w:p>
      <w:pPr>
        <w:rPr>
          <w:lang w:val="en-US"/>
        </w:rPr>
      </w:pPr>
      <w:r>
        <w:t xml:space="preserve">For PUSCH repetition Type B, except for PUSCH transmitting CSI report(s) with no transport block, the number of nominal repetitions is given by </w:t>
      </w:r>
      <w:r>
        <w:rPr>
          <w:i/>
          <w:iCs/>
        </w:rPr>
        <w:t>numberOfRepetitions</w:t>
      </w:r>
      <w:r>
        <w:t xml:space="preserve">. For the </w:t>
      </w:r>
      <w:r>
        <w:rPr>
          <w:i/>
        </w:rPr>
        <w:t>n</w:t>
      </w:r>
      <w:r>
        <w:t xml:space="preserve">-th nominal repetition, </w:t>
      </w:r>
      <w:r>
        <w:rPr>
          <w:i/>
        </w:rPr>
        <w:t>n</w:t>
      </w:r>
      <w:r>
        <w:t xml:space="preserve"> = </w:t>
      </w:r>
      <w:r>
        <w:rPr>
          <w:i/>
        </w:rPr>
        <w:t>0</w:t>
      </w:r>
      <w:r>
        <w:t xml:space="preserve">, …, </w:t>
      </w:r>
      <w:r>
        <w:rPr>
          <w:i/>
          <w:iCs/>
        </w:rPr>
        <w:t>numberOfRepetitions</w:t>
      </w:r>
      <w:r>
        <w:rPr>
          <w:lang w:val="en-US"/>
        </w:rPr>
        <w:t xml:space="preserve"> - 1,</w:t>
      </w:r>
    </w:p>
    <w:p>
      <w:pPr>
        <w:pStyle w:val="112"/>
      </w:pPr>
      <w:r>
        <w:t>-</w:t>
      </w:r>
      <w:r>
        <w:tab/>
      </w:r>
      <w:r>
        <w:t xml:space="preserve">The slot where the nominal repetition starts is given by </w:t>
      </w:r>
      <w:r>
        <w:rPr>
          <w:position w:val="-30"/>
        </w:rPr>
        <w:object>
          <v:shape id="_x0000_i1025" o:spt="75" type="#_x0000_t75" style="height:36.75pt;width:64.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t xml:space="preserve">, and the starting symbol relative to the start of the slot is given by </w:t>
      </w:r>
      <w:r>
        <w:rPr>
          <w:position w:val="-14"/>
        </w:rPr>
        <w:object>
          <v:shape id="_x0000_i1026" o:spt="75" type="#_x0000_t75" style="height:21.75pt;width:86.2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t>.</w:t>
      </w:r>
    </w:p>
    <w:p>
      <w:pPr>
        <w:pStyle w:val="112"/>
      </w:pPr>
      <w:r>
        <w:t>-</w:t>
      </w:r>
      <w:r>
        <w:tab/>
      </w:r>
      <w:r>
        <w:t xml:space="preserve">The slot where the nominal repetition ends is given by </w:t>
      </w:r>
      <w:r>
        <w:rPr>
          <w:position w:val="-30"/>
        </w:rPr>
        <w:object>
          <v:shape id="_x0000_i1027" o:spt="75" type="#_x0000_t75" style="height:36.75pt;width:101.2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t xml:space="preserve">, and the ending symbol relative to the start of the slot is given by </w:t>
      </w:r>
      <w:r>
        <w:rPr>
          <w:position w:val="-14"/>
        </w:rPr>
        <w:object>
          <v:shape id="_x0000_i1028" o:spt="75" type="#_x0000_t75" style="height:21.75pt;width:116.2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t>.</w:t>
      </w:r>
    </w:p>
    <w:p>
      <w:r>
        <w:t xml:space="preserve">Here </w:t>
      </w:r>
      <w:r>
        <w:rPr>
          <w:position w:val="-10"/>
        </w:rPr>
        <w:object>
          <v:shape id="_x0000_i1029" o:spt="75" type="#_x0000_t75" style="height:14.25pt;width:14.2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t xml:space="preserve">is the slot where the PUSCH transmission starts, and </w:t>
      </w:r>
      <w:r>
        <w:rPr>
          <w:position w:val="-12"/>
        </w:rPr>
        <w:object>
          <v:shape id="_x0000_i1030" o:spt="75" type="#_x0000_t75" style="height:14.25pt;width:21.7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t>is the number of symbols per slot as defined in Clause 4.3.2 of [4, TS38.211].</w:t>
      </w:r>
    </w:p>
    <w:p>
      <w:r>
        <w:t>For PUSCH repetition Type B, the UE determines invalid symbol(s) for PUSCH repetition Type B transmission as follows:</w:t>
      </w:r>
    </w:p>
    <w:p>
      <w:pPr>
        <w:pStyle w:val="112"/>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pPr>
        <w:pStyle w:val="112"/>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pPr>
        <w:pStyle w:val="112"/>
      </w:pPr>
      <w:r>
        <w:rPr>
          <w:lang w:val="en-US"/>
        </w:rPr>
        <w:t>-</w:t>
      </w:r>
      <w:r>
        <w:rPr>
          <w:lang w:val="en-US"/>
        </w:rPr>
        <w:tab/>
      </w:r>
      <w:r>
        <w:t>For operation in unpaired spectrum, symbol(s)</w:t>
      </w:r>
      <w:r>
        <w:rPr>
          <w:rStyle w:val="262"/>
          <w:lang w:val="en-US"/>
        </w:rPr>
        <w:t xml:space="preserve"> </w:t>
      </w:r>
      <w:r>
        <w:t>indicated by</w:t>
      </w:r>
      <w:r>
        <w:rPr>
          <w:lang w:val="en-US"/>
        </w:rPr>
        <w:t xml:space="preserve"> </w:t>
      </w:r>
      <w:r>
        <w:rPr>
          <w:i/>
          <w:iCs/>
        </w:rPr>
        <w:t>pdcch-ConfigSIB1</w:t>
      </w:r>
      <w:r>
        <w:rPr>
          <w:rStyle w:val="262"/>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pPr>
        <w:pStyle w:val="112"/>
        <w:rPr>
          <w:color w:val="000000"/>
        </w:rPr>
      </w:pPr>
      <w:r>
        <w:rPr>
          <w:lang w:val="en-US"/>
        </w:rPr>
        <w:t>-</w:t>
      </w:r>
      <w:r>
        <w:rPr>
          <w:lang w:val="en-US"/>
        </w:rPr>
        <w:tab/>
      </w:r>
      <w:r>
        <w:t xml:space="preserve">For operation in unpaired spectrum, if </w:t>
      </w:r>
      <w:r>
        <w:rPr>
          <w:i/>
          <w:iCs/>
        </w:rPr>
        <w:t>numberOfInvalidSymbolsForDL-UL-Switching</w:t>
      </w:r>
      <w:r>
        <w:rPr>
          <w:rStyle w:val="262"/>
          <w:lang w:val="en-US"/>
        </w:rPr>
        <w:t xml:space="preserve"> </w:t>
      </w:r>
      <w:r>
        <w:rPr>
          <w:rStyle w:val="262"/>
        </w:rPr>
        <w:t>is configured,</w:t>
      </w:r>
      <w:r>
        <w:t xml:space="preserve"> </w:t>
      </w:r>
      <w:r>
        <w:rPr>
          <w:i/>
          <w:iCs/>
        </w:rPr>
        <w:t>numberOfInvalidSymbolsForDL-UL-Switching</w:t>
      </w:r>
      <w:r>
        <w:rPr>
          <w:rStyle w:val="262"/>
          <w:lang w:val="en-US"/>
        </w:rPr>
        <w:t xml:space="preserve"> </w:t>
      </w:r>
      <w:r>
        <w:t xml:space="preserve">symbol(s) after the last symbol that is indicated as downlink in each consecutive set of all symbols that are indicated as downlink by </w:t>
      </w:r>
      <w:r>
        <w:rPr>
          <w:i/>
          <w:lang w:val="en-US"/>
        </w:rPr>
        <w:t xml:space="preserve">tdd-UL-DL-ConfigurationCommon </w:t>
      </w:r>
      <w:r>
        <w:rPr>
          <w:lang w:val="en-US"/>
        </w:rPr>
        <w:t xml:space="preserve">or </w:t>
      </w:r>
      <w:r>
        <w:rPr>
          <w:i/>
          <w:lang w:val="en-US"/>
        </w:rPr>
        <w:t>tdd-UL-DL-ConfigurationDedicated</w:t>
      </w:r>
      <w:r>
        <w:t xml:space="preserve"> are considered as invalid symbol(s) for PUSCH repetition Type B transmission. The symbol(s) given by </w:t>
      </w:r>
      <w:r>
        <w:rPr>
          <w:i/>
          <w:iCs/>
        </w:rPr>
        <w:t>numberOfInvalidSymbolsForDL-UL-Switching</w:t>
      </w:r>
      <w:r>
        <w:t xml:space="preserve"> are defined using the reference SCS configuration </w:t>
      </w:r>
      <w:r>
        <w:rPr>
          <w:i/>
          <w:iCs/>
        </w:rPr>
        <w:t>referenceSubcarrierSpacing</w:t>
      </w:r>
      <w:r>
        <w:t xml:space="preserve"> provided in </w:t>
      </w:r>
      <w:r>
        <w:rPr>
          <w:i/>
          <w:lang w:val="en-US"/>
        </w:rPr>
        <w:t>tdd-UL-DL-ConfigurationCommon</w:t>
      </w:r>
      <w:r>
        <w:t>.</w:t>
      </w:r>
    </w:p>
    <w:p>
      <w:pPr>
        <w:pStyle w:val="112"/>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given by</w:t>
      </w:r>
      <w:r>
        <w:rPr>
          <w:lang w:val="en-US"/>
        </w:rPr>
        <w:t xml:space="preserve"> </w:t>
      </w:r>
      <w:r>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can be {1, 2, 4, 5, 8, 10, 20 or 40} units long, but maximum of 40</w:t>
      </w:r>
      <w:r>
        <w:rPr>
          <w:lang w:val="en-US"/>
        </w:rPr>
        <w:t xml:space="preserve"> </w:t>
      </w:r>
      <w:r>
        <w:rPr>
          <w:lang w:val="en-GB"/>
        </w:rPr>
        <w:t>msec</w:t>
      </w:r>
      <w:r>
        <w:t xml:space="preserve">. The first symbol of </w:t>
      </w:r>
      <w:r>
        <w:rPr>
          <w:i/>
        </w:rPr>
        <w:t xml:space="preserve">periodicityAndPattern </w:t>
      </w:r>
      <w:r>
        <w:t>every 40</w:t>
      </w:r>
      <w:r>
        <w:rPr>
          <w:lang w:val="en-US"/>
        </w:rPr>
        <w:t xml:space="preserve"> </w:t>
      </w:r>
      <w:r>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periodicityAndPattern-r16 </w:t>
      </w:r>
      <w:r>
        <w:t xml:space="preserve">in units of </w:t>
      </w:r>
      <w:r>
        <w:rPr>
          <w:lang w:val="en-GB"/>
        </w:rPr>
        <w:t>msec</w:t>
      </w:r>
      <w:r>
        <w:t xml:space="preserve">.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Pr>
          <w:i/>
          <w:color w:val="000000"/>
        </w:rPr>
        <w:t xml:space="preserve">invalidSymbolPattern </w:t>
      </w:r>
      <w:r>
        <w:rPr>
          <w:color w:val="000000"/>
        </w:rPr>
        <w:t>is configured, when the UE applies the invalid symbol pattern is determined as follows:</w:t>
      </w:r>
    </w:p>
    <w:p>
      <w:pPr>
        <w:pStyle w:val="113"/>
      </w:pPr>
      <w:r>
        <w:t>-</w:t>
      </w:r>
      <w:r>
        <w:tab/>
      </w:r>
      <w:r>
        <w:t xml:space="preserve">if the PUSCH is scheduled by DCI format 0_1, or corresponds to a Type 2 configured grant activated by DCI format 0_1, and if </w:t>
      </w:r>
      <w:r>
        <w:rPr>
          <w:i/>
          <w:iCs/>
        </w:rPr>
        <w:t>invalidSymbolPatternIndicatorDCI-0-1</w:t>
      </w:r>
      <w:r>
        <w:t xml:space="preserve">  is configured,</w:t>
      </w:r>
    </w:p>
    <w:p>
      <w:pPr>
        <w:pStyle w:val="114"/>
      </w:pPr>
      <w:r>
        <w:t>-</w:t>
      </w:r>
      <w:r>
        <w:tab/>
      </w:r>
      <w:r>
        <w:t>if invalid symbol pattern indicator field is set 1, the UE applies the invalid symbol pattern;</w:t>
      </w:r>
    </w:p>
    <w:p>
      <w:pPr>
        <w:pStyle w:val="114"/>
      </w:pPr>
      <w:r>
        <w:t>-</w:t>
      </w:r>
      <w:r>
        <w:tab/>
      </w:r>
      <w:r>
        <w:t>otherwise, the UE does not apply the invalid symbol pattern;</w:t>
      </w:r>
    </w:p>
    <w:p>
      <w:pPr>
        <w:pStyle w:val="113"/>
      </w:pPr>
      <w:r>
        <w:t>-</w:t>
      </w:r>
      <w:r>
        <w:tab/>
      </w:r>
      <w:r>
        <w:t xml:space="preserve">if the PUSCH is scheduled by DCI format 0_2, or corresponds to a Type 2 configured grant activated by DCI format 0_2, and if </w:t>
      </w:r>
      <w:r>
        <w:rPr>
          <w:i/>
          <w:iCs/>
        </w:rPr>
        <w:t>invalidSymbolPatternIndicatorDCI-0-2</w:t>
      </w:r>
      <w:r>
        <w:t xml:space="preserve">  is configured,</w:t>
      </w:r>
    </w:p>
    <w:p>
      <w:pPr>
        <w:pStyle w:val="114"/>
      </w:pPr>
      <w:r>
        <w:t>-</w:t>
      </w:r>
      <w:r>
        <w:tab/>
      </w:r>
      <w:r>
        <w:t>if invalid symbol pattern indicator field is set 1, the UE applies the invalid symbol pattern;</w:t>
      </w:r>
    </w:p>
    <w:p>
      <w:pPr>
        <w:pStyle w:val="114"/>
        <w:rPr>
          <w:lang w:val="en-GB"/>
        </w:rPr>
      </w:pPr>
      <w:r>
        <w:t>-</w:t>
      </w:r>
      <w:r>
        <w:tab/>
      </w:r>
      <w:r>
        <w:t>otherwise, the UE does not apply the invalid symbol pattern;</w:t>
      </w:r>
    </w:p>
    <w:p>
      <w:pPr>
        <w:pStyle w:val="113"/>
      </w:pPr>
      <w:r>
        <w:t>-</w:t>
      </w:r>
      <w:r>
        <w:tab/>
      </w:r>
      <w:r>
        <w:t xml:space="preserve">otherwise, the UE applies the invalid symbol pattern. </w:t>
      </w:r>
    </w:p>
    <w:p>
      <w:pPr>
        <w:pStyle w:val="112"/>
        <w:rPr>
          <w:lang w:val="en-US"/>
        </w:rPr>
      </w:pPr>
      <w:r>
        <w:t>-</w:t>
      </w:r>
      <w:r>
        <w:tab/>
      </w:r>
      <w:r>
        <w:rPr>
          <w:lang w:val="en-US"/>
        </w:rPr>
        <w:t xml:space="preserve">If the UE </w:t>
      </w:r>
    </w:p>
    <w:p>
      <w:pPr>
        <w:pStyle w:val="113"/>
      </w:pPr>
      <w:r>
        <w:t>-</w:t>
      </w:r>
      <w:r>
        <w:tab/>
      </w:r>
      <w:r>
        <w:t xml:space="preserve">is configured with multiple serving cells </w:t>
      </w:r>
      <w:r>
        <w:rPr>
          <w:rFonts w:hint="eastAsia"/>
          <w:lang w:eastAsia="zh-CN"/>
        </w:rPr>
        <w:t>within a cell group</w:t>
      </w:r>
      <w:r>
        <w:t xml:space="preserve"> and is provided </w:t>
      </w:r>
      <w:r>
        <w:rPr>
          <w:rFonts w:hint="eastAsia"/>
        </w:rPr>
        <w:t xml:space="preserve">with </w:t>
      </w:r>
      <w:r>
        <w:rPr>
          <w:i/>
          <w:iCs/>
        </w:rPr>
        <w:t xml:space="preserve">directionalCollisionHandling-r16 </w:t>
      </w:r>
      <w:r>
        <w:t>= 'enable</w:t>
      </w:r>
      <w:r>
        <w:rPr>
          <w:lang w:val="en-GB"/>
        </w:rPr>
        <w:t>d</w:t>
      </w:r>
      <w:r>
        <w:t>'</w:t>
      </w:r>
      <w:r>
        <w:rPr>
          <w:lang w:val="en-GB"/>
        </w:rPr>
        <w:t xml:space="preserve"> </w:t>
      </w:r>
      <w:r>
        <w:rPr>
          <w:rFonts w:hint="eastAsia"/>
        </w:rPr>
        <w:t>for a set of serving cell(s) among the multiple serving cells</w:t>
      </w:r>
      <w:r>
        <w:t>, and</w:t>
      </w:r>
    </w:p>
    <w:p>
      <w:pPr>
        <w:pStyle w:val="113"/>
      </w:pPr>
      <w:r>
        <w:t>-</w:t>
      </w:r>
      <w:r>
        <w:tab/>
      </w:r>
      <w:r>
        <w:t xml:space="preserve">indicates support of </w:t>
      </w:r>
      <w:r>
        <w:rPr>
          <w:i/>
        </w:rPr>
        <w:t>half-DuplexTDD-CA-SameSCS-r16</w:t>
      </w:r>
      <w:r>
        <w:rPr>
          <w:rFonts w:hint="eastAsia"/>
        </w:rPr>
        <w:t xml:space="preserve"> </w:t>
      </w:r>
      <w:r>
        <w:t>capability, and</w:t>
      </w:r>
    </w:p>
    <w:p>
      <w:pPr>
        <w:pStyle w:val="113"/>
      </w:pPr>
      <w:r>
        <w:t>-</w:t>
      </w:r>
      <w:r>
        <w:tab/>
      </w:r>
      <w:r>
        <w:t xml:space="preserve">is not configured to monitor PDCCH for detection of DCI format 2-0 on any of the multiple serving cells, </w:t>
      </w:r>
    </w:p>
    <w:p>
      <w:pPr>
        <w:pStyle w:val="114"/>
        <w:rPr>
          <w:iCs/>
        </w:rPr>
      </w:pPr>
      <w:r>
        <w:t>-</w:t>
      </w:r>
      <w:r>
        <w:tab/>
      </w:r>
      <w:r>
        <w:t xml:space="preserve">a symbol indicated to the UE for reception of SS/PBCH blocks in a first cell of the multiple serving cells by </w:t>
      </w:r>
      <w:r>
        <w:rPr>
          <w:i/>
          <w:iCs/>
        </w:rPr>
        <w:t>ssb-PositionsInBurst</w:t>
      </w:r>
      <w:r>
        <w:t xml:space="preserve"> in </w:t>
      </w:r>
      <w:r>
        <w:rPr>
          <w:i/>
          <w:iCs/>
        </w:rPr>
        <w:t>SIB1</w:t>
      </w:r>
      <w:r>
        <w:t xml:space="preserve"> or </w:t>
      </w:r>
      <w:r>
        <w:rPr>
          <w:i/>
          <w:iCs/>
        </w:rPr>
        <w:t>ssb-PositionsInBurst</w:t>
      </w:r>
      <w:r>
        <w:t xml:space="preserve"> in </w:t>
      </w:r>
      <w:r>
        <w:rPr>
          <w:i/>
          <w:iCs/>
        </w:rPr>
        <w:t>ServingCellConfigCommon</w:t>
      </w:r>
      <w:r>
        <w:rPr>
          <w:iCs/>
        </w:rPr>
        <w:t xml:space="preserve"> is considered as an invalid symbol for PUSCH repetition Type B transmission in</w:t>
      </w:r>
    </w:p>
    <w:p>
      <w:pPr>
        <w:pStyle w:val="115"/>
      </w:pPr>
      <w:r>
        <w:t>-</w:t>
      </w:r>
      <w:r>
        <w:tab/>
      </w:r>
      <w:r>
        <w:t xml:space="preserve">any of the multiple serving cells if the UE is not capable of simultaneous transmission and reception as indicated by </w:t>
      </w:r>
      <w:r>
        <w:rPr>
          <w:i/>
        </w:rPr>
        <w:t>simultaneousRxTxInterBandCA</w:t>
      </w:r>
      <w:r>
        <w:t xml:space="preserve"> among the multiple serving cells, and</w:t>
      </w:r>
    </w:p>
    <w:p>
      <w:pPr>
        <w:pStyle w:val="115"/>
      </w:pPr>
      <w:r>
        <w:t>-</w:t>
      </w:r>
      <w:r>
        <w:tab/>
      </w:r>
      <w:r>
        <w:t xml:space="preserve">any one of the cells corresponding to the same band as the first cell, irrespective of any capability indicated by </w:t>
      </w:r>
      <w:r>
        <w:rPr>
          <w:i/>
        </w:rPr>
        <w:t>simultaneousRxTxInterBandCA</w:t>
      </w:r>
    </w:p>
    <w:p>
      <w:pPr>
        <w:pStyle w:val="114"/>
      </w:pPr>
      <w:r>
        <w:t>and</w:t>
      </w:r>
    </w:p>
    <w:p>
      <w:pPr>
        <w:pStyle w:val="114"/>
      </w:pPr>
      <w:r>
        <w:rPr>
          <w:lang w:val="en-GB"/>
        </w:rPr>
        <w:t>-</w:t>
      </w:r>
      <w:r>
        <w:rPr>
          <w:lang w:val="en-GB"/>
        </w:rPr>
        <w:tab/>
      </w:r>
      <w:r>
        <w:t>a symbol</w:t>
      </w:r>
      <w:r>
        <w:rPr>
          <w:rFonts w:hint="eastAsia"/>
        </w:rPr>
        <w:t xml:space="preserve"> is </w:t>
      </w:r>
      <w:r>
        <w:t xml:space="preserve">considered as an invalid symbol in </w:t>
      </w:r>
      <w:r>
        <w:rPr>
          <w:rFonts w:hint="eastAsia"/>
          <w:lang w:eastAsia="zh-CN"/>
        </w:rPr>
        <w:t xml:space="preserve">another cell among the set of serving </w:t>
      </w:r>
      <w:r>
        <w:t xml:space="preserve"> cell</w:t>
      </w:r>
      <w:r>
        <w:rPr>
          <w:lang w:val="en-GB"/>
        </w:rPr>
        <w:t>(</w:t>
      </w:r>
      <w:r>
        <w:t>s</w:t>
      </w:r>
      <w:r>
        <w:rPr>
          <w:rFonts w:hint="eastAsia"/>
          <w:lang w:eastAsia="zh-CN"/>
        </w:rPr>
        <w:t>) provided</w:t>
      </w:r>
      <w:r>
        <w:rPr>
          <w:rFonts w:eastAsia="MS Mincho"/>
        </w:rPr>
        <w:t xml:space="preserve"> with </w:t>
      </w:r>
      <w:r>
        <w:rPr>
          <w:rFonts w:eastAsia="MS Mincho"/>
          <w:bCs/>
          <w:i/>
          <w:lang w:eastAsia="sv-SE"/>
        </w:rPr>
        <w:t>directionalCollisionHandling</w:t>
      </w:r>
      <w:r>
        <w:rPr>
          <w:rFonts w:eastAsia="MS Mincho"/>
          <w:bCs/>
          <w:i/>
          <w:lang w:eastAsia="ja-JP"/>
        </w:rPr>
        <w:t>-r16</w:t>
      </w:r>
      <w:r>
        <w:rPr>
          <w:rFonts w:hint="eastAsia"/>
        </w:rPr>
        <w:t xml:space="preserve"> </w:t>
      </w:r>
      <w:r>
        <w:t>for PUSCH</w:t>
      </w:r>
      <w:r>
        <w:rPr>
          <w:rFonts w:hint="eastAsia"/>
        </w:rPr>
        <w:t xml:space="preserve"> </w:t>
      </w:r>
      <w:r>
        <w:t>repetition Type B</w:t>
      </w:r>
      <w:r>
        <w:rPr>
          <w:rFonts w:hint="eastAsia"/>
        </w:rPr>
        <w:t xml:space="preserve"> transmission</w:t>
      </w:r>
      <w:r>
        <w:t xml:space="preserve"> with Type 1 or Type 2 configured grant except for the first Type 2 PUSCH transmission (including all repetitions) after activation if the symbol is indicated as downlink by </w:t>
      </w:r>
      <w:r>
        <w:rPr>
          <w:i/>
          <w:iCs/>
        </w:rPr>
        <w:t>tdd-UL-DL-ConfigurationCommon</w:t>
      </w:r>
      <w:r>
        <w:t xml:space="preserve"> or </w:t>
      </w:r>
      <w:r>
        <w:rPr>
          <w:i/>
          <w:iCs/>
        </w:rPr>
        <w:t>tdd-UL-DL-ConfigurationDedicated</w:t>
      </w:r>
      <w:r>
        <w:t xml:space="preserve"> on the reference cell</w:t>
      </w:r>
      <w:r>
        <w:rPr>
          <w:rFonts w:hint="eastAsia"/>
          <w:lang w:eastAsia="zh-CN"/>
        </w:rPr>
        <w:t xml:space="preserve"> as defined in Clause 11.1 of [6, TS 38.213]</w:t>
      </w:r>
      <w:r>
        <w:t>, or the UE is configured by higher layers to receive PDCCH, PDSCH, or CSI-RS on the reference cell in the symbol.</w:t>
      </w:r>
    </w:p>
    <w:p>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w:t>
      </w:r>
      <w:ins w:id="8" w:author="ZTE" w:date="2022-09-28T14:51:44Z">
        <w:r>
          <w:rPr>
            <w:rFonts w:hint="eastAsia"/>
            <w:color w:val="000000"/>
            <w:lang w:val="en-US" w:eastAsia="zh-CN"/>
          </w:rPr>
          <w:t xml:space="preserve">, </w:t>
        </w:r>
      </w:ins>
      <w:del w:id="9" w:author="ZTE" w:date="2022-09-28T14:51:43Z">
        <w:r>
          <w:rPr>
            <w:color w:val="000000"/>
          </w:rPr>
          <w:delText xml:space="preserve"> </w:delText>
        </w:r>
      </w:del>
      <w:del w:id="10" w:author="ZTE" w:date="2022-09-28T14:51:42Z">
        <w:r>
          <w:rPr>
            <w:color w:val="000000"/>
          </w:rPr>
          <w:delText xml:space="preserve">and </w:delText>
        </w:r>
      </w:del>
      <w:r>
        <w:rPr>
          <w:color w:val="000000"/>
        </w:rPr>
        <w:t xml:space="preserve">Clause 11.2A </w:t>
      </w:r>
      <w:ins w:id="11" w:author="ZTE" w:date="2022-09-28T14:51:45Z">
        <w:r>
          <w:rPr>
            <w:rFonts w:hint="eastAsia"/>
            <w:color w:val="000000"/>
            <w:lang w:val="en-US" w:eastAsia="zh-CN"/>
          </w:rPr>
          <w:t>and</w:t>
        </w:r>
      </w:ins>
      <w:ins w:id="12" w:author="ZTE" w:date="2022-09-28T14:51:45Z">
        <w:r>
          <w:rPr>
            <w:rFonts w:eastAsia="Batang"/>
            <w:color w:val="FF0000"/>
            <w:kern w:val="24"/>
            <w:u w:val="single"/>
          </w:rPr>
          <w:t xml:space="preserve"> </w:t>
        </w:r>
      </w:ins>
      <w:ins w:id="13" w:author="ZTE" w:date="2022-09-28T14:51:45Z">
        <w:r>
          <w:rPr>
            <w:rFonts w:hint="eastAsia" w:eastAsia="宋体"/>
            <w:color w:val="FF0000"/>
            <w:kern w:val="24"/>
            <w:u w:val="single"/>
            <w:lang w:val="en-US" w:eastAsia="zh-CN"/>
          </w:rPr>
          <w:t>C</w:t>
        </w:r>
      </w:ins>
      <w:ins w:id="14" w:author="ZTE" w:date="2022-09-28T14:51:45Z">
        <w:r>
          <w:rPr>
            <w:rFonts w:eastAsia="Batang"/>
            <w:color w:val="FF0000"/>
            <w:kern w:val="24"/>
            <w:u w:val="single"/>
          </w:rPr>
          <w:t>lause 15</w:t>
        </w:r>
      </w:ins>
      <w:ins w:id="15" w:author="ZTE" w:date="2022-09-28T14:51:46Z">
        <w:r>
          <w:rPr>
            <w:rFonts w:hint="eastAsia" w:eastAsia="宋体"/>
            <w:color w:val="FF0000"/>
            <w:kern w:val="24"/>
            <w:u w:val="single"/>
            <w:lang w:val="en-US" w:eastAsia="zh-CN"/>
          </w:rPr>
          <w:t xml:space="preserve"> </w:t>
        </w:r>
      </w:ins>
      <w:r>
        <w:rPr>
          <w:color w:val="000000"/>
        </w:rPr>
        <w:t>of [6, TS38.213].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t>
      </w:r>
    </w:p>
    <w:p>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w:t>
      </w:r>
      <w:ins w:id="16" w:author="ZTE" w:date="2022-09-28T14:51:53Z">
        <w:r>
          <w:rPr>
            <w:rFonts w:hint="eastAsia"/>
            <w:lang w:val="en-US" w:eastAsia="zh-CN"/>
          </w:rPr>
          <w:t xml:space="preserve">, </w:t>
        </w:r>
      </w:ins>
      <w:del w:id="17" w:author="ZTE" w:date="2022-09-28T14:51:52Z">
        <w:r>
          <w:rPr/>
          <w:delText xml:space="preserve"> and </w:delText>
        </w:r>
      </w:del>
      <w:r>
        <w:t xml:space="preserve">Clause 11.2A </w:t>
      </w:r>
      <w:ins w:id="18" w:author="ZTE" w:date="2022-09-28T14:51:54Z">
        <w:r>
          <w:rPr>
            <w:rFonts w:hint="eastAsia"/>
            <w:color w:val="000000"/>
            <w:lang w:val="en-US" w:eastAsia="zh-CN"/>
          </w:rPr>
          <w:t>and</w:t>
        </w:r>
      </w:ins>
      <w:ins w:id="19" w:author="ZTE" w:date="2022-09-28T14:51:54Z">
        <w:r>
          <w:rPr>
            <w:rFonts w:eastAsia="Batang"/>
            <w:color w:val="FF0000"/>
            <w:kern w:val="24"/>
            <w:u w:val="single"/>
          </w:rPr>
          <w:t xml:space="preserve"> </w:t>
        </w:r>
      </w:ins>
      <w:ins w:id="20" w:author="ZTE" w:date="2022-09-28T14:51:54Z">
        <w:r>
          <w:rPr>
            <w:rFonts w:hint="eastAsia" w:eastAsia="宋体"/>
            <w:color w:val="FF0000"/>
            <w:kern w:val="24"/>
            <w:u w:val="single"/>
            <w:lang w:val="en-US" w:eastAsia="zh-CN"/>
          </w:rPr>
          <w:t>C</w:t>
        </w:r>
      </w:ins>
      <w:ins w:id="21" w:author="ZTE" w:date="2022-09-28T14:51:54Z">
        <w:r>
          <w:rPr>
            <w:rFonts w:eastAsia="Batang"/>
            <w:color w:val="FF0000"/>
            <w:kern w:val="24"/>
            <w:u w:val="single"/>
          </w:rPr>
          <w:t>lause 15</w:t>
        </w:r>
      </w:ins>
      <w:ins w:id="22" w:author="ZTE" w:date="2022-09-28T14:51:55Z">
        <w:r>
          <w:rPr>
            <w:rFonts w:hint="eastAsia" w:eastAsia="宋体"/>
            <w:color w:val="FF0000"/>
            <w:kern w:val="24"/>
            <w:u w:val="single"/>
            <w:lang w:val="en-US" w:eastAsia="zh-CN"/>
          </w:rPr>
          <w:t xml:space="preserve"> </w:t>
        </w:r>
      </w:ins>
      <w:r>
        <w:t>of [6, TS38.213].</w:t>
      </w:r>
    </w:p>
    <w:p>
      <w:r>
        <w:t>For PUSCH repetition Type B, when a UE is scheduled to transmit a transport block and aperiodic CSI report(s) on PUSCH by a '</w:t>
      </w:r>
      <w:r>
        <w:rPr>
          <w:i/>
        </w:rPr>
        <w:t>CSI request'</w:t>
      </w:r>
      <w:r>
        <w:t xml:space="preserve"> field on a DCI, the CSI report(s) is multiplexed only on the first actual repetition. The UE does not expect that the first actual repetition has a single symbol duration.</w:t>
      </w:r>
    </w:p>
    <w:p>
      <w:pPr>
        <w:spacing w:before="120" w:line="280" w:lineRule="atLeast"/>
        <w:jc w:val="center"/>
      </w:pPr>
      <w:r>
        <w:rPr>
          <w:b/>
          <w:iCs/>
          <w:color w:val="FF0000"/>
          <w:sz w:val="28"/>
        </w:rPr>
        <w:t>&lt;Unchanged parts are omitted&gt;</w:t>
      </w:r>
    </w:p>
    <w:p>
      <w:pPr>
        <w:keepNext/>
        <w:keepLines/>
        <w:spacing w:before="120"/>
        <w:ind w:left="1701" w:hanging="1701"/>
        <w:outlineLvl w:val="4"/>
        <w:rPr>
          <w:rFonts w:ascii="Arial" w:hAnsi="Arial"/>
          <w:color w:val="000000"/>
          <w:lang w:eastAsia="zh-CN"/>
        </w:rPr>
      </w:pPr>
      <w:r>
        <w:rPr>
          <w:rFonts w:ascii="Arial" w:hAnsi="Arial"/>
          <w:color w:val="000000"/>
          <w:lang w:eastAsia="zh-CN"/>
        </w:rPr>
        <w:t>6.1.2.3.1</w:t>
      </w:r>
      <w:r>
        <w:rPr>
          <w:rFonts w:ascii="Arial" w:hAnsi="Arial"/>
          <w:color w:val="000000"/>
          <w:lang w:eastAsia="zh-CN"/>
        </w:rPr>
        <w:tab/>
      </w:r>
      <w:r>
        <w:rPr>
          <w:rFonts w:ascii="Arial" w:hAnsi="Arial"/>
          <w:color w:val="000000"/>
          <w:lang w:eastAsia="zh-CN"/>
        </w:rPr>
        <w:t>Transport Block repetition for uplink transmissions of PUSCH repetition Type A with a configured grant</w:t>
      </w:r>
    </w:p>
    <w:p>
      <w:pPr>
        <w:spacing w:before="240"/>
        <w:rPr>
          <w:color w:val="000000"/>
        </w:rPr>
      </w:pPr>
      <w:r>
        <w:rPr>
          <w:color w:val="000000"/>
        </w:rPr>
        <w:t xml:space="preserve">The procedures described in this clause apply to PUSCH transmissions of PUSCH repetition Type A with a Type 1 or Type 2 configured grant. </w:t>
      </w:r>
    </w:p>
    <w:p>
      <w:pPr>
        <w:spacing w:before="240"/>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pPr>
        <w:pStyle w:val="112"/>
      </w:pPr>
      <w:r>
        <w:t>-</w:t>
      </w:r>
      <w:r>
        <w:tab/>
      </w:r>
      <w:r>
        <w:t xml:space="preserve">the first transmission occasion of the </w:t>
      </w:r>
      <w:r>
        <w:rPr>
          <w:i/>
        </w:rPr>
        <w:t>K</w:t>
      </w:r>
      <w:r>
        <w:t xml:space="preserve"> repetitions if the configured RV sequence is {0,2,3,1},</w:t>
      </w:r>
    </w:p>
    <w:p>
      <w:pPr>
        <w:pStyle w:val="112"/>
      </w:pPr>
      <w:r>
        <w:t>-</w:t>
      </w:r>
      <w:r>
        <w:tab/>
      </w:r>
      <w:r>
        <w:t xml:space="preserve">any of the transmission occasions of the </w:t>
      </w:r>
      <w:r>
        <w:rPr>
          <w:i/>
        </w:rPr>
        <w:t>K</w:t>
      </w:r>
      <w:r>
        <w:t xml:space="preserve"> repetitions that are associated with RV=0 if the configured RV sequence is {0,3,0,3},</w:t>
      </w:r>
    </w:p>
    <w:p>
      <w:pPr>
        <w:pStyle w:val="112"/>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the UE shall repeat the TB across the </w:t>
      </w:r>
      <w:r>
        <w:rPr>
          <w:i/>
          <w:iCs/>
          <w:lang w:val="en-US"/>
        </w:rPr>
        <w:t>K</w:t>
      </w:r>
      <w:r>
        <w:rPr>
          <w:lang w:val="en-US"/>
        </w:rP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w:t>
      </w:r>
      <w:r>
        <w:rPr>
          <w:color w:val="000000" w:themeColor="text1"/>
          <w:lang w:eastAsia="zh-CN"/>
          <w14:textFill>
            <w14:solidFill>
              <w14:schemeClr w14:val="tx1"/>
            </w14:solidFill>
          </w14:textFill>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14:textFill>
            <w14:solidFill>
              <w14:schemeClr w14:val="tx1"/>
            </w14:solidFill>
          </w14:textFill>
        </w:rPr>
        <w:t>earliest consecutive transmission occasion candidates within the same configuration</w:t>
      </w:r>
      <w:r>
        <w:rPr>
          <w:lang w:val="en-US"/>
        </w:rPr>
        <w:t xml:space="preserve">. </w:t>
      </w:r>
      <w:r>
        <w:rPr>
          <w:color w:val="000000"/>
        </w:rPr>
        <w:t>A Type 1 or Type 2 PUSCH transmission with a configured grant in a slot is omitted according to the conditions in Clause 9, Clause 11.1</w:t>
      </w:r>
      <w:ins w:id="23" w:author="ZTE" w:date="2022-09-28T14:52:05Z">
        <w:r>
          <w:rPr>
            <w:rFonts w:hint="eastAsia"/>
            <w:color w:val="000000"/>
            <w:lang w:val="en-US" w:eastAsia="zh-CN"/>
          </w:rPr>
          <w:t xml:space="preserve">, </w:t>
        </w:r>
      </w:ins>
      <w:del w:id="24" w:author="ZTE" w:date="2022-09-28T14:52:03Z">
        <w:r>
          <w:rPr>
            <w:color w:val="000000"/>
          </w:rPr>
          <w:delText xml:space="preserve"> and </w:delText>
        </w:r>
      </w:del>
      <w:r>
        <w:rPr>
          <w:color w:val="000000"/>
        </w:rPr>
        <w:t xml:space="preserve">Clause 11.2A </w:t>
      </w:r>
      <w:ins w:id="25" w:author="ZTE" w:date="2022-09-28T14:52:07Z">
        <w:r>
          <w:rPr>
            <w:rFonts w:hint="eastAsia"/>
            <w:color w:val="000000"/>
            <w:lang w:val="en-US" w:eastAsia="zh-CN"/>
          </w:rPr>
          <w:t>and</w:t>
        </w:r>
      </w:ins>
      <w:ins w:id="26" w:author="ZTE" w:date="2022-09-28T14:52:07Z">
        <w:r>
          <w:rPr>
            <w:rFonts w:eastAsia="Batang"/>
            <w:color w:val="FF0000"/>
            <w:kern w:val="24"/>
            <w:u w:val="single"/>
          </w:rPr>
          <w:t xml:space="preserve"> </w:t>
        </w:r>
      </w:ins>
      <w:ins w:id="27" w:author="ZTE" w:date="2022-09-28T14:52:07Z">
        <w:r>
          <w:rPr>
            <w:rFonts w:hint="eastAsia" w:eastAsia="宋体"/>
            <w:color w:val="FF0000"/>
            <w:kern w:val="24"/>
            <w:u w:val="single"/>
            <w:lang w:val="en-US" w:eastAsia="zh-CN"/>
          </w:rPr>
          <w:t>C</w:t>
        </w:r>
      </w:ins>
      <w:ins w:id="28" w:author="ZTE" w:date="2022-09-28T14:52:07Z">
        <w:r>
          <w:rPr>
            <w:rFonts w:eastAsia="Batang"/>
            <w:color w:val="FF0000"/>
            <w:kern w:val="24"/>
            <w:u w:val="single"/>
          </w:rPr>
          <w:t>lause 15</w:t>
        </w:r>
      </w:ins>
      <w:ins w:id="29" w:author="ZTE" w:date="2022-09-28T14:52:08Z">
        <w:r>
          <w:rPr>
            <w:rFonts w:hint="eastAsia" w:eastAsia="宋体"/>
            <w:color w:val="FF0000"/>
            <w:kern w:val="24"/>
            <w:u w:val="single"/>
            <w:lang w:val="en-US" w:eastAsia="zh-CN"/>
          </w:rPr>
          <w:t xml:space="preserve"> </w:t>
        </w:r>
      </w:ins>
      <w:r>
        <w:rPr>
          <w:color w:val="000000"/>
        </w:rPr>
        <w:t>of [6, TS38.213].</w:t>
      </w:r>
      <w:r>
        <w:rPr>
          <w:lang w:val="en-US" w:eastAsia="en-GB"/>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4B4A"/>
    <w:rsid w:val="0012193C"/>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225D45"/>
    <w:rsid w:val="00231A85"/>
    <w:rsid w:val="00244508"/>
    <w:rsid w:val="00253837"/>
    <w:rsid w:val="0026004D"/>
    <w:rsid w:val="002640DD"/>
    <w:rsid w:val="00273FA8"/>
    <w:rsid w:val="00275D12"/>
    <w:rsid w:val="00284FEB"/>
    <w:rsid w:val="002860C4"/>
    <w:rsid w:val="002B5741"/>
    <w:rsid w:val="002E2DE7"/>
    <w:rsid w:val="00305409"/>
    <w:rsid w:val="00330086"/>
    <w:rsid w:val="003549A3"/>
    <w:rsid w:val="003609EF"/>
    <w:rsid w:val="0036231A"/>
    <w:rsid w:val="00374DD4"/>
    <w:rsid w:val="00392417"/>
    <w:rsid w:val="003A7B52"/>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A634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95808"/>
    <w:rsid w:val="00696FDE"/>
    <w:rsid w:val="006A54FB"/>
    <w:rsid w:val="006B02D3"/>
    <w:rsid w:val="006B46FB"/>
    <w:rsid w:val="006E21FB"/>
    <w:rsid w:val="006F457A"/>
    <w:rsid w:val="00714D03"/>
    <w:rsid w:val="00724D47"/>
    <w:rsid w:val="007306AA"/>
    <w:rsid w:val="00734332"/>
    <w:rsid w:val="0074580C"/>
    <w:rsid w:val="00751F8F"/>
    <w:rsid w:val="007528CD"/>
    <w:rsid w:val="00764406"/>
    <w:rsid w:val="00770DF5"/>
    <w:rsid w:val="007742E9"/>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E53F7"/>
    <w:rsid w:val="008E7CAD"/>
    <w:rsid w:val="008F686C"/>
    <w:rsid w:val="009148DE"/>
    <w:rsid w:val="009202FB"/>
    <w:rsid w:val="00941E30"/>
    <w:rsid w:val="0095381D"/>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C7784"/>
    <w:rsid w:val="00FD4CF5"/>
    <w:rsid w:val="01D1166F"/>
    <w:rsid w:val="038878B0"/>
    <w:rsid w:val="04633B19"/>
    <w:rsid w:val="060530CF"/>
    <w:rsid w:val="06643AF7"/>
    <w:rsid w:val="074349B1"/>
    <w:rsid w:val="08BA6575"/>
    <w:rsid w:val="095F7B6B"/>
    <w:rsid w:val="0974220E"/>
    <w:rsid w:val="0A091DCB"/>
    <w:rsid w:val="0C16482E"/>
    <w:rsid w:val="0DB76C2A"/>
    <w:rsid w:val="0E827CBD"/>
    <w:rsid w:val="0FE11E2F"/>
    <w:rsid w:val="100D2418"/>
    <w:rsid w:val="108128B6"/>
    <w:rsid w:val="11795505"/>
    <w:rsid w:val="12DB6B6B"/>
    <w:rsid w:val="12E16ED7"/>
    <w:rsid w:val="12FE71E1"/>
    <w:rsid w:val="142D2A2C"/>
    <w:rsid w:val="16815EBC"/>
    <w:rsid w:val="16901BD3"/>
    <w:rsid w:val="18984484"/>
    <w:rsid w:val="18E156D4"/>
    <w:rsid w:val="190174DF"/>
    <w:rsid w:val="193F3726"/>
    <w:rsid w:val="19990CC7"/>
    <w:rsid w:val="1C0C0D6C"/>
    <w:rsid w:val="1F7E6693"/>
    <w:rsid w:val="23082FF3"/>
    <w:rsid w:val="23F021A2"/>
    <w:rsid w:val="2504350C"/>
    <w:rsid w:val="2527527F"/>
    <w:rsid w:val="258305F0"/>
    <w:rsid w:val="25D44208"/>
    <w:rsid w:val="2660035A"/>
    <w:rsid w:val="270F7CF7"/>
    <w:rsid w:val="28D74209"/>
    <w:rsid w:val="29C7379B"/>
    <w:rsid w:val="2C531A44"/>
    <w:rsid w:val="2CAE3862"/>
    <w:rsid w:val="2CD91AD9"/>
    <w:rsid w:val="2D144FBE"/>
    <w:rsid w:val="2D92105F"/>
    <w:rsid w:val="2D9846E7"/>
    <w:rsid w:val="2F434302"/>
    <w:rsid w:val="30D15421"/>
    <w:rsid w:val="31295F79"/>
    <w:rsid w:val="314E2AD2"/>
    <w:rsid w:val="326A53A2"/>
    <w:rsid w:val="335E2C1F"/>
    <w:rsid w:val="33695DF3"/>
    <w:rsid w:val="34FB03FF"/>
    <w:rsid w:val="35802D75"/>
    <w:rsid w:val="35AC0DCE"/>
    <w:rsid w:val="35EC292D"/>
    <w:rsid w:val="36FE44E2"/>
    <w:rsid w:val="371252EA"/>
    <w:rsid w:val="381C61E2"/>
    <w:rsid w:val="3B472615"/>
    <w:rsid w:val="3C174EA9"/>
    <w:rsid w:val="3C6A2336"/>
    <w:rsid w:val="3D111490"/>
    <w:rsid w:val="3D6B0E83"/>
    <w:rsid w:val="3E9804C8"/>
    <w:rsid w:val="3F717620"/>
    <w:rsid w:val="3FE2657F"/>
    <w:rsid w:val="40AD6321"/>
    <w:rsid w:val="411D565E"/>
    <w:rsid w:val="41796355"/>
    <w:rsid w:val="46515C91"/>
    <w:rsid w:val="46864F97"/>
    <w:rsid w:val="46EA10E7"/>
    <w:rsid w:val="47E33797"/>
    <w:rsid w:val="4827410B"/>
    <w:rsid w:val="483F208D"/>
    <w:rsid w:val="4A307DC1"/>
    <w:rsid w:val="4A984899"/>
    <w:rsid w:val="4AF420C1"/>
    <w:rsid w:val="4C161034"/>
    <w:rsid w:val="4D0A7980"/>
    <w:rsid w:val="4D95066A"/>
    <w:rsid w:val="4DB22122"/>
    <w:rsid w:val="50291C0C"/>
    <w:rsid w:val="51782EB7"/>
    <w:rsid w:val="53A6166F"/>
    <w:rsid w:val="557E3E9E"/>
    <w:rsid w:val="56E84D96"/>
    <w:rsid w:val="57BD6D53"/>
    <w:rsid w:val="5894466A"/>
    <w:rsid w:val="59690C95"/>
    <w:rsid w:val="5A721965"/>
    <w:rsid w:val="5B622144"/>
    <w:rsid w:val="5BE32F8B"/>
    <w:rsid w:val="5C2E106B"/>
    <w:rsid w:val="5D647E4D"/>
    <w:rsid w:val="5D813DF2"/>
    <w:rsid w:val="5E1A42F3"/>
    <w:rsid w:val="5E4A02BD"/>
    <w:rsid w:val="631F6294"/>
    <w:rsid w:val="634606FA"/>
    <w:rsid w:val="657450A7"/>
    <w:rsid w:val="657C216C"/>
    <w:rsid w:val="65CB1B40"/>
    <w:rsid w:val="679A69F9"/>
    <w:rsid w:val="684C17B2"/>
    <w:rsid w:val="69A235DB"/>
    <w:rsid w:val="69FF0B0D"/>
    <w:rsid w:val="6BDC206D"/>
    <w:rsid w:val="6C441E93"/>
    <w:rsid w:val="6CB8404C"/>
    <w:rsid w:val="6DB8537A"/>
    <w:rsid w:val="6E791DCC"/>
    <w:rsid w:val="6F5D4925"/>
    <w:rsid w:val="70D73DA8"/>
    <w:rsid w:val="71F3248C"/>
    <w:rsid w:val="72181CD8"/>
    <w:rsid w:val="7560609B"/>
    <w:rsid w:val="75BF76E4"/>
    <w:rsid w:val="75E90518"/>
    <w:rsid w:val="76025AD8"/>
    <w:rsid w:val="761754AC"/>
    <w:rsid w:val="77707001"/>
    <w:rsid w:val="78B75DC3"/>
    <w:rsid w:val="78EF50DF"/>
    <w:rsid w:val="78F056B9"/>
    <w:rsid w:val="793344C5"/>
    <w:rsid w:val="7A2D0481"/>
    <w:rsid w:val="7A4B2F93"/>
    <w:rsid w:val="7CC45E03"/>
    <w:rsid w:val="7E06701E"/>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E5E4D-4B82-4F44-8A20-539465D327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1014</Words>
  <Characters>5785</Characters>
  <Lines>48</Lines>
  <Paragraphs>13</Paragraphs>
  <TotalTime>1</TotalTime>
  <ScaleCrop>false</ScaleCrop>
  <LinksUpToDate>false</LinksUpToDate>
  <CharactersWithSpaces>6786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2022-09-29T12:27:33Z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